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BF" w:rsidRPr="00F77DBF" w:rsidRDefault="002800B5" w:rsidP="002800B5">
      <w:pPr>
        <w:keepNext/>
        <w:keepLines/>
        <w:tabs>
          <w:tab w:val="left" w:pos="993"/>
          <w:tab w:val="left" w:pos="6521"/>
        </w:tabs>
        <w:spacing w:after="0" w:line="240" w:lineRule="auto"/>
        <w:ind w:hanging="142"/>
        <w:jc w:val="center"/>
        <w:rPr>
          <w:rFonts w:ascii="Times New Roman" w:eastAsia="Times New Roman" w:hAnsi="Times New Roman" w:cs="Calibri"/>
          <w:b/>
          <w:i/>
          <w:color w:val="C00000"/>
          <w:sz w:val="28"/>
          <w:szCs w:val="28"/>
        </w:rPr>
      </w:pPr>
      <w:bookmarkStart w:id="0" w:name="sub_1"/>
      <w:bookmarkStart w:id="1" w:name="_Toc424284809"/>
      <w:r>
        <w:rPr>
          <w:rFonts w:ascii="Times New Roman" w:eastAsia="Times New Roman" w:hAnsi="Times New Roman" w:cs="Calibri"/>
          <w:b/>
          <w:i/>
          <w:noProof/>
          <w:color w:val="C00000"/>
          <w:sz w:val="28"/>
          <w:szCs w:val="28"/>
          <w:lang w:eastAsia="ru-RU"/>
        </w:rPr>
        <w:drawing>
          <wp:inline distT="0" distB="0" distL="0" distR="0">
            <wp:extent cx="6479540" cy="9343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об антик политике.jfif"/>
                    <pic:cNvPicPr/>
                  </pic:nvPicPr>
                  <pic:blipFill>
                    <a:blip r:embed="rId8">
                      <a:extLst>
                        <a:ext uri="{28A0092B-C50C-407E-A947-70E740481C1C}">
                          <a14:useLocalDpi xmlns:a14="http://schemas.microsoft.com/office/drawing/2010/main" val="0"/>
                        </a:ext>
                      </a:extLst>
                    </a:blip>
                    <a:stretch>
                      <a:fillRect/>
                    </a:stretch>
                  </pic:blipFill>
                  <pic:spPr>
                    <a:xfrm>
                      <a:off x="0" y="0"/>
                      <a:ext cx="6479540" cy="9343390"/>
                    </a:xfrm>
                    <a:prstGeom prst="rect">
                      <a:avLst/>
                    </a:prstGeom>
                  </pic:spPr>
                </pic:pic>
              </a:graphicData>
            </a:graphic>
          </wp:inline>
        </w:drawing>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bookmarkStart w:id="2" w:name="_GoBack"/>
      <w:bookmarkEnd w:id="2"/>
      <w:r w:rsidRPr="00325149">
        <w:rPr>
          <w:rFonts w:ascii="Times New Roman" w:eastAsia="Times New Roman" w:hAnsi="Times New Roman" w:cs="Times New Roman"/>
          <w:b/>
          <w:sz w:val="24"/>
          <w:szCs w:val="24"/>
        </w:rPr>
        <w:lastRenderedPageBreak/>
        <w:t>взятка</w:t>
      </w:r>
      <w:r w:rsidRPr="00325149">
        <w:rPr>
          <w:rFonts w:ascii="Times New Roman" w:eastAsia="Times New Roman" w:hAnsi="Times New Roman" w:cs="Times New Roman"/>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коммерческий подкуп</w:t>
      </w:r>
      <w:r w:rsidRPr="00325149">
        <w:rPr>
          <w:rFonts w:ascii="Times New Roman" w:eastAsia="Times New Roman" w:hAnsi="Times New Roman" w:cs="Times New Roman"/>
          <w:sz w:val="24"/>
          <w:szCs w:val="24"/>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противодействие коррупции</w:t>
      </w:r>
      <w:r w:rsidRPr="00325149">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по предупреждению коррупции, в том числе по выявлению и последующему устранению причин коррупции (профилактика коррупции);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по выявлению, предупреждению, пресечению, раскрытию и расследованию коррупционных правонарушений (борьба с коррупцией);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по минимизации и (или) ликвидации последствий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предупреждение коррупции</w:t>
      </w:r>
      <w:r w:rsidRPr="00325149">
        <w:rPr>
          <w:rFonts w:ascii="Times New Roman" w:eastAsia="Times New Roman" w:hAnsi="Times New Roman" w:cs="Times New Roman"/>
          <w:sz w:val="24"/>
          <w:szCs w:val="24"/>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работник Учреждения</w:t>
      </w:r>
      <w:r w:rsidRPr="00325149">
        <w:rPr>
          <w:rFonts w:ascii="Times New Roman" w:eastAsia="Times New Roman" w:hAnsi="Times New Roman" w:cs="Times New Roman"/>
          <w:sz w:val="24"/>
          <w:szCs w:val="24"/>
        </w:rPr>
        <w:t> ‒ физическое лицо, вступившее в трудовые отношения с Учреждением;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контрагент Учреждения</w:t>
      </w:r>
      <w:r w:rsidRPr="00325149">
        <w:rPr>
          <w:rFonts w:ascii="Times New Roman" w:eastAsia="Times New Roman" w:hAnsi="Times New Roman" w:cs="Times New Roman"/>
          <w:sz w:val="24"/>
          <w:szCs w:val="24"/>
        </w:rPr>
        <w:t xml:space="preserve"> ‒ любое российское или иностранное </w:t>
      </w:r>
      <w:proofErr w:type="gramStart"/>
      <w:r w:rsidRPr="00325149">
        <w:rPr>
          <w:rFonts w:ascii="Times New Roman" w:eastAsia="Times New Roman" w:hAnsi="Times New Roman" w:cs="Times New Roman"/>
          <w:sz w:val="24"/>
          <w:szCs w:val="24"/>
        </w:rPr>
        <w:t>юридическое</w:t>
      </w:r>
      <w:proofErr w:type="gramEnd"/>
      <w:r w:rsidRPr="00325149">
        <w:rPr>
          <w:rFonts w:ascii="Times New Roman" w:eastAsia="Times New Roman" w:hAnsi="Times New Roman" w:cs="Times New Roman"/>
          <w:sz w:val="24"/>
          <w:szCs w:val="24"/>
        </w:rPr>
        <w:t xml:space="preserve"> или физическое лицо, с которым Учреждение вступает в договорные отношения, за исключением трудовых отношений;</w:t>
      </w:r>
    </w:p>
    <w:p w:rsidR="00F77DBF" w:rsidRPr="00325149" w:rsidRDefault="00F77DBF" w:rsidP="00F77DBF">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конфликт интересов</w:t>
      </w:r>
      <w:r w:rsidRPr="00325149">
        <w:rPr>
          <w:rFonts w:ascii="Times New Roman" w:eastAsia="Calibri" w:hAnsi="Times New Roman" w:cs="Times New Roman"/>
          <w:sz w:val="24"/>
          <w:szCs w:val="24"/>
          <w:vertAlign w:val="superscript"/>
        </w:rPr>
        <w:footnoteReference w:id="1"/>
      </w:r>
      <w:r w:rsidRPr="00325149">
        <w:rPr>
          <w:rFonts w:ascii="Times New Roman" w:eastAsia="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r w:rsidRPr="00325149">
        <w:rPr>
          <w:rFonts w:ascii="Times New Roman" w:eastAsia="Times New Roman" w:hAnsi="Times New Roman" w:cs="Times New Roman"/>
          <w:b/>
          <w:sz w:val="24"/>
          <w:szCs w:val="24"/>
        </w:rPr>
        <w:t>личная заинтересованность</w:t>
      </w:r>
      <w:r w:rsidRPr="00325149">
        <w:rPr>
          <w:rFonts w:ascii="Times New Roman" w:eastAsia="Times New Roman" w:hAnsi="Times New Roman" w:cs="Times New Roman"/>
          <w:sz w:val="24"/>
          <w:szCs w:val="24"/>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lastRenderedPageBreak/>
        <w:t>II</w:t>
      </w:r>
      <w:r w:rsidRPr="00325149">
        <w:rPr>
          <w:rFonts w:ascii="Times New Roman" w:eastAsia="Times New Roman" w:hAnsi="Times New Roman" w:cs="Times New Roman"/>
          <w:b/>
          <w:sz w:val="24"/>
          <w:szCs w:val="24"/>
        </w:rPr>
        <w:t>. Область применения настоящего Положения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круг лиц, на которых распространяется его действие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III</w:t>
      </w:r>
      <w:r w:rsidRPr="00325149">
        <w:rPr>
          <w:rFonts w:ascii="Times New Roman" w:eastAsia="Times New Roman" w:hAnsi="Times New Roman" w:cs="Times New Roman"/>
          <w:b/>
          <w:sz w:val="24"/>
          <w:szCs w:val="24"/>
        </w:rPr>
        <w:t>. Основные принципы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Антикоррупционная политика Учреждения основывается на следующих основных принципах: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принцип личного примера руководства.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принцип вовлеченности работников.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принцип соразмерности антикоррупционных процедур коррупционным рискам.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принцип эффективности антикоррупционных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6) принцип ответственности и неотвратимости наказания.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принцип открытости хозяйственной и иной деятельности.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Информирование контрагентов, партнеров и общественности о принятых в Учреждении антикоррупционных стандартах и процедурах;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принцип постоянного контроля и регулярного мониторинга.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IV</w:t>
      </w:r>
      <w:r w:rsidRPr="00325149">
        <w:rPr>
          <w:rFonts w:ascii="Times New Roman" w:eastAsia="Times New Roman" w:hAnsi="Times New Roman" w:cs="Times New Roman"/>
          <w:b/>
          <w:sz w:val="24"/>
          <w:szCs w:val="24"/>
        </w:rPr>
        <w:t>. Должностные лица Учреждения, ответственные</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за реализацию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рекомендаций для принятия решений по вопросам предупреждения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проведения оценки коррупционных рисков;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работы по рассмотрению сообщений о конфликте интересов;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325149">
        <w:rPr>
          <w:rFonts w:ascii="Times New Roman" w:eastAsia="Times New Roman" w:hAnsi="Times New Roman" w:cs="Times New Roman"/>
          <w:sz w:val="24"/>
          <w:szCs w:val="24"/>
        </w:rPr>
        <w:t>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индивидуальное консультирование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участие в организации антикоррупционной пропаганды;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w:t>
      </w:r>
      <w:r w:rsidRPr="00325149">
        <w:rPr>
          <w:rFonts w:ascii="Times New Roman" w:eastAsia="Times New Roman" w:hAnsi="Times New Roman" w:cs="Times New Roman"/>
          <w:b/>
          <w:sz w:val="24"/>
          <w:szCs w:val="24"/>
        </w:rPr>
        <w:t xml:space="preserve">. Обязанности руководителя Учреждения </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работников Учреждения, по предупреждению коррупции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12. Работники Учреждения знакомятся с настоящим Положением под роспись.</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w:t>
      </w:r>
      <w:r w:rsidRPr="00325149">
        <w:rPr>
          <w:rFonts w:ascii="Times New Roman" w:eastAsia="Times New Roman" w:hAnsi="Times New Roman" w:cs="Times New Roman"/>
          <w:b/>
          <w:sz w:val="24"/>
          <w:szCs w:val="24"/>
        </w:rPr>
        <w:t xml:space="preserve">. Перечень мероприятий </w:t>
      </w: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 предупреждению коррупции, реализуемых Учреждением</w:t>
      </w:r>
      <w:r w:rsidRPr="00325149">
        <w:rPr>
          <w:rFonts w:ascii="Times New Roman" w:eastAsia="Calibri" w:hAnsi="Times New Roman" w:cs="Times New Roman"/>
          <w:sz w:val="24"/>
          <w:szCs w:val="24"/>
          <w:vertAlign w:val="superscript"/>
        </w:rPr>
        <w:footnoteReference w:id="2"/>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tbl>
      <w:tblPr>
        <w:tblStyle w:val="9"/>
        <w:tblW w:w="10201" w:type="dxa"/>
        <w:tblLook w:val="04A0" w:firstRow="1" w:lastRow="0" w:firstColumn="1" w:lastColumn="0" w:noHBand="0" w:noVBand="1"/>
      </w:tblPr>
      <w:tblGrid>
        <w:gridCol w:w="3823"/>
        <w:gridCol w:w="6378"/>
      </w:tblGrid>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hAnsi="Times New Roman" w:cs="Times New Roman"/>
                <w:b/>
                <w:sz w:val="24"/>
                <w:szCs w:val="24"/>
              </w:rPr>
            </w:pPr>
            <w:r w:rsidRPr="00325149">
              <w:rPr>
                <w:rFonts w:ascii="Times New Roman" w:eastAsia="Calibri" w:hAnsi="Times New Roman" w:cs="Times New Roman"/>
                <w:b/>
                <w:sz w:val="24"/>
                <w:szCs w:val="24"/>
              </w:rPr>
              <w:t>Направление</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eastAsia="Calibri" w:hAnsi="Times New Roman" w:cs="Times New Roman"/>
                <w:b/>
                <w:sz w:val="24"/>
                <w:szCs w:val="24"/>
              </w:rPr>
            </w:pPr>
            <w:r w:rsidRPr="00325149">
              <w:rPr>
                <w:rFonts w:ascii="Times New Roman" w:eastAsia="Calibri" w:hAnsi="Times New Roman" w:cs="Times New Roman"/>
                <w:b/>
                <w:sz w:val="24"/>
                <w:szCs w:val="24"/>
              </w:rPr>
              <w:t>Мероприятие</w:t>
            </w:r>
          </w:p>
        </w:tc>
      </w:tr>
      <w:tr w:rsidR="00F77DBF" w:rsidRPr="00325149" w:rsidTr="00F77DBF">
        <w:trPr>
          <w:trHeight w:val="277"/>
        </w:trPr>
        <w:tc>
          <w:tcPr>
            <w:tcW w:w="3823" w:type="dxa"/>
            <w:vMerge w:val="restart"/>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принятие Кодекса этики и служебного поведения работников Учреждения</w:t>
            </w:r>
          </w:p>
        </w:tc>
      </w:tr>
      <w:tr w:rsidR="00F77DBF" w:rsidRPr="00325149" w:rsidTr="00F77DB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внедрение положения о конфликте интересов</w:t>
            </w:r>
          </w:p>
        </w:tc>
      </w:tr>
      <w:tr w:rsidR="00F77DBF" w:rsidRPr="00325149" w:rsidTr="00F77DBF">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F77DBF" w:rsidRPr="00325149" w:rsidTr="00F77DBF">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F77DBF" w:rsidRPr="00325149" w:rsidTr="00F77DBF">
        <w:trPr>
          <w:trHeight w:val="208"/>
        </w:trPr>
        <w:tc>
          <w:tcPr>
            <w:tcW w:w="3823" w:type="dxa"/>
            <w:vMerge w:val="restart"/>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F77DBF" w:rsidRPr="00325149" w:rsidTr="00F77DBF">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77DBF" w:rsidRPr="00325149" w:rsidTr="00F77DBF">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F77DBF" w:rsidRPr="00325149" w:rsidTr="00F77DBF">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77DBF" w:rsidRPr="00325149" w:rsidTr="00F77DBF">
        <w:trPr>
          <w:trHeight w:val="254"/>
        </w:trPr>
        <w:tc>
          <w:tcPr>
            <w:tcW w:w="3823" w:type="dxa"/>
            <w:vMerge w:val="restart"/>
            <w:tcBorders>
              <w:top w:val="single" w:sz="4" w:space="0" w:color="auto"/>
              <w:left w:val="single" w:sz="4" w:space="0" w:color="auto"/>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Обучение и информирование работников Учреждения</w:t>
            </w: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w:t>
            </w:r>
            <w:r w:rsidRPr="00325149">
              <w:rPr>
                <w:rFonts w:ascii="Times New Roman" w:eastAsia="Calibri" w:hAnsi="Times New Roman" w:cs="Times New Roman"/>
                <w:sz w:val="24"/>
                <w:szCs w:val="24"/>
              </w:rPr>
              <w:lastRenderedPageBreak/>
              <w:t>Учреждении, при приеме на работу, а также при принятии локального нормативного акта</w:t>
            </w:r>
          </w:p>
        </w:tc>
      </w:tr>
      <w:tr w:rsidR="00F77DBF" w:rsidRPr="00325149" w:rsidTr="00F77DBF">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Проведение обучающих мероприятий по вопросам профилактики и противодействия коррупции</w:t>
            </w:r>
          </w:p>
        </w:tc>
      </w:tr>
      <w:tr w:rsidR="00F77DBF" w:rsidRPr="00325149" w:rsidTr="00F77DBF">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w:t>
      </w:r>
      <w:r w:rsidRPr="00325149">
        <w:rPr>
          <w:rFonts w:ascii="Times New Roman" w:eastAsia="Times New Roman" w:hAnsi="Times New Roman" w:cs="Times New Roman"/>
          <w:b/>
          <w:sz w:val="24"/>
          <w:szCs w:val="24"/>
        </w:rPr>
        <w:t xml:space="preserve">. Меры по предупреждению коррупции </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при взаимодействии с контрагентами Учреждения</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16. Работа по предупреждению коррупции при взаимодействии с контрагентами Учреждения проводится в Учреждении по следующим направлениям: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размещение на официальном сайте Учреждения информации о мерах по предупреждению коррупции, принимаемых в Учреждении.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VIII</w:t>
      </w:r>
      <w:r w:rsidRPr="00325149">
        <w:rPr>
          <w:rFonts w:ascii="Times New Roman" w:eastAsia="Times New Roman" w:hAnsi="Times New Roman" w:cs="Times New Roman"/>
          <w:b/>
          <w:sz w:val="24"/>
          <w:szCs w:val="24"/>
        </w:rPr>
        <w:t>. Оценка коррупционных рисков</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18. В Учреждении устанавливается следующий порядок проведения оценки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«карты коррупционных рисков Учреждения» ‒ сводного описания «критических точек» и возможных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перечня должностей в Учреждении, связанных с высоким уровнем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комплекса мер по устранению или минимизации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19. Перечень должностей в Учреждении, связанных с высоким уровнем коррупционного риска, включает в себя: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должность руководителя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w:t>
      </w:r>
      <w:r w:rsidR="004F5A0D">
        <w:rPr>
          <w:rFonts w:ascii="Times New Roman" w:eastAsia="Times New Roman" w:hAnsi="Times New Roman" w:cs="Times New Roman"/>
          <w:sz w:val="24"/>
          <w:szCs w:val="24"/>
        </w:rPr>
        <w:t xml:space="preserve">ь заместителя руководителя </w:t>
      </w:r>
      <w:r w:rsidRPr="00325149">
        <w:rPr>
          <w:rFonts w:ascii="Times New Roman" w:eastAsia="Times New Roman" w:hAnsi="Times New Roman" w:cs="Times New Roman"/>
          <w:sz w:val="24"/>
          <w:szCs w:val="24"/>
        </w:rPr>
        <w:t>Учреждения;</w:t>
      </w:r>
    </w:p>
    <w:p w:rsidR="00F77DBF" w:rsidRPr="00325149" w:rsidRDefault="004F5A0D" w:rsidP="00F77D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должность </w:t>
      </w:r>
      <w:proofErr w:type="gramStart"/>
      <w:r>
        <w:rPr>
          <w:rFonts w:ascii="Times New Roman" w:eastAsia="Times New Roman" w:hAnsi="Times New Roman" w:cs="Times New Roman"/>
          <w:sz w:val="24"/>
          <w:szCs w:val="24"/>
        </w:rPr>
        <w:t xml:space="preserve">воспитателя </w:t>
      </w:r>
      <w:r w:rsidR="00F77DBF" w:rsidRPr="00325149">
        <w:rPr>
          <w:rFonts w:ascii="Times New Roman" w:eastAsia="Times New Roman" w:hAnsi="Times New Roman" w:cs="Times New Roman"/>
          <w:sz w:val="24"/>
          <w:szCs w:val="24"/>
        </w:rPr>
        <w:t xml:space="preserve"> Учреждения</w:t>
      </w:r>
      <w:proofErr w:type="gramEnd"/>
      <w:r w:rsidR="00F77DBF"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w:t>
      </w:r>
      <w:r w:rsidR="004F5A0D">
        <w:rPr>
          <w:rFonts w:ascii="Times New Roman" w:eastAsia="Times New Roman" w:hAnsi="Times New Roman" w:cs="Times New Roman"/>
          <w:sz w:val="24"/>
          <w:szCs w:val="24"/>
        </w:rPr>
        <w:t>делопроизводителя</w:t>
      </w:r>
      <w:r w:rsidRPr="00325149">
        <w:rPr>
          <w:rFonts w:ascii="Times New Roman" w:eastAsia="Times New Roman" w:hAnsi="Times New Roman" w:cs="Times New Roman"/>
          <w:sz w:val="24"/>
          <w:szCs w:val="24"/>
        </w:rPr>
        <w:t xml:space="preserve">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________________________________________________________________.</w:t>
      </w: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i/>
          <w:sz w:val="24"/>
          <w:szCs w:val="24"/>
        </w:rPr>
        <w:t>(наименование иных должностей)</w:t>
      </w:r>
      <w:r w:rsidRPr="00325149">
        <w:rPr>
          <w:rFonts w:ascii="Times New Roman" w:eastAsia="Times New Roman" w:hAnsi="Times New Roman" w:cs="Times New Roman"/>
          <w:sz w:val="24"/>
          <w:szCs w:val="24"/>
          <w:vertAlign w:val="superscript"/>
        </w:rPr>
        <w:footnoteReference w:id="3"/>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20. Карта коррупционных рисков Учреждения включает следующие «критические точки»: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все виды платных услуг, оказываемых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хозяйственно-закупочная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бухгалтерская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процессы, связанные с движением кадров в Учреждении (прием на работу, повышение в должности и т.д.);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принятие управленческих решений.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IX</w:t>
      </w:r>
      <w:r w:rsidRPr="00325149">
        <w:rPr>
          <w:rFonts w:ascii="Times New Roman" w:eastAsia="Times New Roman" w:hAnsi="Times New Roman" w:cs="Times New Roman"/>
          <w:b/>
          <w:sz w:val="24"/>
          <w:szCs w:val="24"/>
        </w:rPr>
        <w:t>. Подарки и представительские расходы</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325149">
        <w:rPr>
          <w:rFonts w:ascii="Times New Roman" w:eastAsia="Calibri" w:hAnsi="Times New Roman" w:cs="Times New Roman"/>
          <w:sz w:val="24"/>
          <w:szCs w:val="24"/>
          <w:vertAlign w:val="superscript"/>
        </w:rPr>
        <w:footnoteReference w:id="4"/>
      </w:r>
      <w:r w:rsidRPr="00325149">
        <w:rPr>
          <w:rFonts w:ascii="Times New Roman" w:eastAsia="Times New Roman" w:hAnsi="Times New Roman" w:cs="Times New Roman"/>
          <w:sz w:val="24"/>
          <w:szCs w:val="24"/>
        </w:rPr>
        <w:t xml:space="preserve">: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быть прямо связанными с целями деятельности Учреждения;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разумно обоснованными, соразмерными и не являться предметами роскоши;</w:t>
      </w:r>
      <w:bookmarkEnd w:id="0"/>
      <w:bookmarkEnd w:id="1"/>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создавать </w:t>
      </w:r>
      <w:proofErr w:type="spellStart"/>
      <w:r w:rsidRPr="00325149">
        <w:rPr>
          <w:rFonts w:ascii="Times New Roman" w:eastAsia="Times New Roman" w:hAnsi="Times New Roman" w:cs="Times New Roman"/>
          <w:sz w:val="24"/>
          <w:szCs w:val="24"/>
        </w:rPr>
        <w:t>репутационного</w:t>
      </w:r>
      <w:proofErr w:type="spellEnd"/>
      <w:r w:rsidRPr="00325149">
        <w:rPr>
          <w:rFonts w:ascii="Times New Roman" w:eastAsia="Times New Roman" w:hAnsi="Times New Roman" w:cs="Times New Roman"/>
          <w:sz w:val="24"/>
          <w:szCs w:val="24"/>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325149">
        <w:rPr>
          <w:rFonts w:ascii="Times New Roman" w:eastAsia="Times New Roman" w:hAnsi="Times New Roman" w:cs="Times New Roman"/>
          <w:sz w:val="24"/>
          <w:szCs w:val="24"/>
        </w:rPr>
        <w:t>имиджевых</w:t>
      </w:r>
      <w:proofErr w:type="spellEnd"/>
      <w:r w:rsidRPr="00325149">
        <w:rPr>
          <w:rFonts w:ascii="Times New Roman" w:eastAsia="Times New Roman" w:hAnsi="Times New Roman" w:cs="Times New Roman"/>
          <w:sz w:val="24"/>
          <w:szCs w:val="24"/>
        </w:rPr>
        <w:t xml:space="preserve"> материалов.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w:t>
      </w:r>
      <w:r w:rsidRPr="00325149">
        <w:rPr>
          <w:rFonts w:ascii="Times New Roman" w:eastAsia="Times New Roman" w:hAnsi="Times New Roman" w:cs="Times New Roman"/>
          <w:b/>
          <w:sz w:val="24"/>
          <w:szCs w:val="24"/>
        </w:rPr>
        <w:t>. Антикоррупционное просвещение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w:t>
      </w:r>
      <w:r w:rsidRPr="00325149">
        <w:rPr>
          <w:rFonts w:ascii="Times New Roman" w:eastAsia="Times New Roman" w:hAnsi="Times New Roman" w:cs="Times New Roman"/>
          <w:b/>
          <w:sz w:val="24"/>
          <w:szCs w:val="24"/>
        </w:rPr>
        <w:t>. Внутренний контроль и аудит</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29. Для реализации мер предупреждения коррупции в Учреждении осуществляются следующие мероприятия внутреннего контроля и аудита: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контроль документирования операций хозяйственной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325149">
        <w:rPr>
          <w:rFonts w:ascii="Times New Roman" w:eastAsia="Times New Roman" w:hAnsi="Times New Roman" w:cs="Times New Roman"/>
          <w:sz w:val="24"/>
          <w:szCs w:val="24"/>
          <w:lang w:val="en-US"/>
        </w:rPr>
        <w:t>VI</w:t>
      </w:r>
      <w:r w:rsidRPr="00325149">
        <w:rPr>
          <w:rFonts w:ascii="Times New Roman" w:eastAsia="Times New Roman" w:hAnsi="Times New Roman" w:cs="Times New Roman"/>
          <w:sz w:val="24"/>
          <w:szCs w:val="24"/>
        </w:rPr>
        <w:t xml:space="preserve"> настоящего Положения, так и </w:t>
      </w:r>
      <w:proofErr w:type="gramStart"/>
      <w:r w:rsidRPr="00325149">
        <w:rPr>
          <w:rFonts w:ascii="Times New Roman" w:eastAsia="Times New Roman" w:hAnsi="Times New Roman" w:cs="Times New Roman"/>
          <w:sz w:val="24"/>
          <w:szCs w:val="24"/>
        </w:rPr>
        <w:t>иные правила</w:t>
      </w:r>
      <w:proofErr w:type="gramEnd"/>
      <w:r w:rsidRPr="00325149">
        <w:rPr>
          <w:rFonts w:ascii="Times New Roman" w:eastAsia="Times New Roman" w:hAnsi="Times New Roman" w:cs="Times New Roman"/>
          <w:sz w:val="24"/>
          <w:szCs w:val="24"/>
        </w:rPr>
        <w:t xml:space="preserve"> и процедуры, представленные в Кодексе этики и служебного поведения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оплата услуг, характер которых не определен либо вызывает сомнения;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закупки или продажи по ценам, значительно отличающимся от рыночных цен;</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сомнительные платежи наличными денежными средствами.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5149">
        <w:rPr>
          <w:rFonts w:ascii="Times New Roman" w:eastAsia="Times New Roman" w:hAnsi="Times New Roman" w:cs="Times New Roman"/>
          <w:b/>
          <w:sz w:val="24"/>
          <w:szCs w:val="24"/>
          <w:lang w:val="en-US" w:eastAsia="ru-RU"/>
        </w:rPr>
        <w:t>XII</w:t>
      </w:r>
      <w:r w:rsidRPr="00325149">
        <w:rPr>
          <w:rFonts w:ascii="Times New Roman" w:eastAsia="Times New Roman" w:hAnsi="Times New Roman" w:cs="Times New Roman"/>
          <w:b/>
          <w:sz w:val="24"/>
          <w:szCs w:val="24"/>
          <w:lang w:eastAsia="ru-RU"/>
        </w:rPr>
        <w:t xml:space="preserve">. Сотрудничество с органами, </w:t>
      </w:r>
      <w:r w:rsidRPr="00325149">
        <w:rPr>
          <w:rFonts w:ascii="Times New Roman" w:eastAsia="Calibri" w:hAnsi="Times New Roman" w:cs="Times New Roman"/>
          <w:b/>
          <w:sz w:val="24"/>
          <w:szCs w:val="24"/>
        </w:rPr>
        <w:t xml:space="preserve">уполномоченными на осуществление государственного контроля (надзора), </w:t>
      </w:r>
      <w:r w:rsidRPr="00325149">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325149">
        <w:rPr>
          <w:rFonts w:ascii="Times New Roman" w:eastAsia="Times New Roman" w:hAnsi="Times New Roman" w:cs="Times New Roman"/>
          <w:sz w:val="24"/>
          <w:szCs w:val="24"/>
        </w:rPr>
        <w:t>контрольно</w:t>
      </w:r>
      <w:proofErr w:type="spellEnd"/>
      <w:r w:rsidRPr="00325149">
        <w:rPr>
          <w:rFonts w:ascii="Times New Roman" w:eastAsia="Times New Roman" w:hAnsi="Times New Roman" w:cs="Times New Roman"/>
          <w:sz w:val="24"/>
          <w:szCs w:val="24"/>
        </w:rPr>
        <w:t> ‒ надзорных мероприятий в Учреждении по вопросам предупреждения и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325149">
        <w:rPr>
          <w:rFonts w:ascii="Times New Roman" w:eastAsia="Times New Roman" w:hAnsi="Times New Roman" w:cs="Times New Roman"/>
          <w:sz w:val="24"/>
          <w:szCs w:val="24"/>
        </w:rPr>
        <w:t>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XIII</w:t>
      </w:r>
      <w:r w:rsidRPr="00325149">
        <w:rPr>
          <w:rFonts w:ascii="Times New Roman" w:eastAsia="Times New Roman" w:hAnsi="Times New Roman" w:cs="Times New Roman"/>
          <w:b/>
          <w:sz w:val="24"/>
          <w:szCs w:val="24"/>
        </w:rPr>
        <w:t>. Ответственность за несоблюдение требований настоящего</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Положения и нарушение антикоррупционного законодательства</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38.</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39.</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40.</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XIV</w:t>
      </w:r>
      <w:r w:rsidRPr="00325149">
        <w:rPr>
          <w:rFonts w:ascii="Times New Roman" w:eastAsia="Times New Roman" w:hAnsi="Times New Roman" w:cs="Times New Roman"/>
          <w:b/>
          <w:sz w:val="24"/>
          <w:szCs w:val="24"/>
        </w:rPr>
        <w:t xml:space="preserve">. Порядок пересмотра настоящего Положения </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внесения в него изменений</w:t>
      </w:r>
    </w:p>
    <w:p w:rsidR="005E43A1" w:rsidRPr="00325149" w:rsidRDefault="005E43A1"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41. Учреждение осуществляет регулярный мониторинг эффективности реализации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_________________________</w:t>
      </w:r>
    </w:p>
    <w:sectPr w:rsidR="00F77DBF" w:rsidRPr="00325149" w:rsidSect="004F5A0D">
      <w:pgSz w:w="11906" w:h="16838"/>
      <w:pgMar w:top="851"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75" w:rsidRDefault="00E16D75" w:rsidP="00F77DBF">
      <w:pPr>
        <w:spacing w:after="0" w:line="240" w:lineRule="auto"/>
      </w:pPr>
      <w:r>
        <w:separator/>
      </w:r>
    </w:p>
  </w:endnote>
  <w:endnote w:type="continuationSeparator" w:id="0">
    <w:p w:rsidR="00E16D75" w:rsidRDefault="00E16D75" w:rsidP="00F7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75" w:rsidRDefault="00E16D75" w:rsidP="00F77DBF">
      <w:pPr>
        <w:spacing w:after="0" w:line="240" w:lineRule="auto"/>
      </w:pPr>
      <w:r>
        <w:separator/>
      </w:r>
    </w:p>
  </w:footnote>
  <w:footnote w:type="continuationSeparator" w:id="0">
    <w:p w:rsidR="00E16D75" w:rsidRDefault="00E16D75" w:rsidP="00F77DBF">
      <w:pPr>
        <w:spacing w:after="0" w:line="240" w:lineRule="auto"/>
      </w:pPr>
      <w:r>
        <w:continuationSeparator/>
      </w:r>
    </w:p>
  </w:footnote>
  <w:footnote w:id="1">
    <w:p w:rsidR="00F77DBF" w:rsidRDefault="00F77DBF" w:rsidP="00F77DBF">
      <w:pPr>
        <w:pStyle w:val="a5"/>
      </w:pPr>
      <w:r>
        <w:rPr>
          <w:rStyle w:val="af9"/>
        </w:rPr>
        <w:footnoteRef/>
      </w:r>
      <w:r>
        <w:t> Федеральные законы, регулирующие отношения, которые возникают в определенной сфере,</w:t>
      </w:r>
      <w:r w:rsidR="006D0828">
        <w:t xml:space="preserve"> например, в сфере образования </w:t>
      </w:r>
      <w:r>
        <w:t>(Федеральный закон от 29.12.2012 № 273-ФЗ «Об образовании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2">
    <w:p w:rsidR="00F77DBF" w:rsidRDefault="00F77DBF" w:rsidP="00F77DBF">
      <w:pPr>
        <w:keepNext/>
        <w:keepLines/>
        <w:tabs>
          <w:tab w:val="left" w:pos="0"/>
          <w:tab w:val="left" w:pos="993"/>
        </w:tabs>
        <w:spacing w:after="0" w:line="240" w:lineRule="auto"/>
        <w:ind w:firstLine="426"/>
        <w:jc w:val="both"/>
      </w:pPr>
      <w:r>
        <w:rPr>
          <w:rStyle w:val="af9"/>
          <w:sz w:val="20"/>
          <w:szCs w:val="20"/>
        </w:rPr>
        <w:footnoteRef/>
      </w:r>
      <w:r>
        <w:rPr>
          <w:rFonts w:ascii="Times New Roman" w:hAnsi="Times New Roman"/>
          <w:sz w:val="20"/>
          <w:szCs w:val="20"/>
        </w:rPr>
        <w:t>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footnote>
  <w:footnote w:id="3">
    <w:p w:rsidR="00F77DBF" w:rsidRDefault="00F77DBF" w:rsidP="00F77DBF">
      <w:pPr>
        <w:pStyle w:val="a5"/>
      </w:pPr>
      <w:r>
        <w:rPr>
          <w:rStyle w:val="af9"/>
        </w:rPr>
        <w:footnoteRef/>
      </w:r>
      <w:r>
        <w:t> Учреждению необходимо указать наименования должностей исходя из своих коррупционных рисков.</w:t>
      </w:r>
    </w:p>
  </w:footnote>
  <w:footnote w:id="4">
    <w:p w:rsidR="00F77DBF" w:rsidRDefault="00F77DBF" w:rsidP="00F77DBF">
      <w:pPr>
        <w:pStyle w:val="a5"/>
      </w:pPr>
      <w:r>
        <w:rPr>
          <w:rStyle w:val="af9"/>
        </w:rPr>
        <w:footnoteRef/>
      </w:r>
      <w:r>
        <w:t> 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01E7"/>
    <w:rsid w:val="000673CE"/>
    <w:rsid w:val="002800B5"/>
    <w:rsid w:val="002B0261"/>
    <w:rsid w:val="002F4290"/>
    <w:rsid w:val="00325149"/>
    <w:rsid w:val="003E0381"/>
    <w:rsid w:val="00475560"/>
    <w:rsid w:val="004E4628"/>
    <w:rsid w:val="004F5A0D"/>
    <w:rsid w:val="005E14F8"/>
    <w:rsid w:val="005E43A1"/>
    <w:rsid w:val="006A27B6"/>
    <w:rsid w:val="006D0828"/>
    <w:rsid w:val="00712680"/>
    <w:rsid w:val="007728A2"/>
    <w:rsid w:val="00801E4D"/>
    <w:rsid w:val="008F59B6"/>
    <w:rsid w:val="009327CD"/>
    <w:rsid w:val="009A5662"/>
    <w:rsid w:val="00A001E7"/>
    <w:rsid w:val="00A91451"/>
    <w:rsid w:val="00AD58C8"/>
    <w:rsid w:val="00B94018"/>
    <w:rsid w:val="00D370A6"/>
    <w:rsid w:val="00E06B91"/>
    <w:rsid w:val="00E13FB3"/>
    <w:rsid w:val="00E16D75"/>
    <w:rsid w:val="00F113C4"/>
    <w:rsid w:val="00F3640E"/>
    <w:rsid w:val="00F7472C"/>
    <w:rsid w:val="00F77DBF"/>
    <w:rsid w:val="00F97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A5B58-1BAF-43C1-BDB5-C8C21AAD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14F8"/>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C713-02BF-4625-9164-9E43FCE2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Учетная запись Майкрософт</cp:lastModifiedBy>
  <cp:revision>3</cp:revision>
  <dcterms:created xsi:type="dcterms:W3CDTF">2023-05-15T09:20:00Z</dcterms:created>
  <dcterms:modified xsi:type="dcterms:W3CDTF">2023-05-24T05:45:00Z</dcterms:modified>
</cp:coreProperties>
</file>